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B1B23" w:rsidRPr="00FB1B23" w:rsidTr="00FB1B23">
        <w:trPr>
          <w:tblCellSpacing w:w="0" w:type="dxa"/>
        </w:trPr>
        <w:tc>
          <w:tcPr>
            <w:tcW w:w="5000" w:type="pct"/>
            <w:hideMark/>
          </w:tcPr>
          <w:p w:rsidR="00FB1B23" w:rsidRPr="00FB1B23" w:rsidRDefault="00FB1B23" w:rsidP="00FB1B23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КАБІНЕТ МІНІ</w:t>
            </w:r>
            <w:proofErr w:type="gramStart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СТР</w:t>
            </w:r>
            <w:proofErr w:type="gramEnd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ІВ УКРАЇНИ</w:t>
            </w:r>
            <w:r w:rsidRPr="00FB1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B1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ПОСТАНОВА</w:t>
            </w:r>
          </w:p>
        </w:tc>
      </w:tr>
      <w:tr w:rsidR="00FB1B23" w:rsidRPr="00FB1B23" w:rsidTr="00FB1B23">
        <w:trPr>
          <w:tblCellSpacing w:w="0" w:type="dxa"/>
        </w:trPr>
        <w:tc>
          <w:tcPr>
            <w:tcW w:w="5000" w:type="pct"/>
            <w:hideMark/>
          </w:tcPr>
          <w:p w:rsidR="00FB1B23" w:rsidRPr="00FB1B23" w:rsidRDefault="00FB1B23" w:rsidP="00FB1B23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від</w:t>
            </w:r>
            <w:proofErr w:type="spellEnd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 xml:space="preserve"> 26 листопада 2014 р. № 688 </w:t>
            </w:r>
            <w:r w:rsidRPr="00FB1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Киї</w:t>
            </w:r>
            <w:proofErr w:type="gramStart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в</w:t>
            </w:r>
            <w:proofErr w:type="spellEnd"/>
            <w:proofErr w:type="gramEnd"/>
          </w:p>
        </w:tc>
      </w:tr>
    </w:tbl>
    <w:p w:rsidR="00FB1B23" w:rsidRPr="00FB1B23" w:rsidRDefault="00FB1B23" w:rsidP="00FB1B23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n3"/>
      <w:bookmarkEnd w:id="0"/>
      <w:r w:rsidRPr="00FB1B23">
        <w:rPr>
          <w:rFonts w:ascii="Courier New" w:eastAsia="Times New Roman" w:hAnsi="Courier New" w:cs="Courier New"/>
          <w:color w:val="000000"/>
          <w:sz w:val="21"/>
        </w:rPr>
        <w:t xml:space="preserve">Про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</w:rPr>
        <w:t>внесення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</w:rPr>
        <w:t>зміни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</w:rPr>
        <w:t xml:space="preserve"> до постанови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</w:rPr>
        <w:t>Кабінету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</w:rPr>
        <w:t>Міні</w:t>
      </w:r>
      <w:proofErr w:type="gramStart"/>
      <w:r w:rsidRPr="00FB1B23">
        <w:rPr>
          <w:rFonts w:ascii="Courier New" w:eastAsia="Times New Roman" w:hAnsi="Courier New" w:cs="Courier New"/>
          <w:color w:val="000000"/>
          <w:sz w:val="21"/>
        </w:rPr>
        <w:t>стр</w:t>
      </w:r>
      <w:proofErr w:type="gramEnd"/>
      <w:r w:rsidRPr="00FB1B23">
        <w:rPr>
          <w:rFonts w:ascii="Courier New" w:eastAsia="Times New Roman" w:hAnsi="Courier New" w:cs="Courier New"/>
          <w:color w:val="000000"/>
          <w:sz w:val="21"/>
        </w:rPr>
        <w:t>ів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</w:rPr>
        <w:t>України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</w:rPr>
        <w:t>від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</w:rPr>
        <w:t xml:space="preserve"> 3 листопада 2010 р. № 996</w:t>
      </w:r>
    </w:p>
    <w:p w:rsidR="00FB1B23" w:rsidRPr="00FB1B23" w:rsidRDefault="00FB1B23" w:rsidP="00FB1B23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n4"/>
      <w:bookmarkEnd w:id="1"/>
      <w:proofErr w:type="gram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gram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метою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ефективної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реалізації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положень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hyperlink r:id="rId4" w:tgtFrame="_blank" w:history="1"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 xml:space="preserve">Закону </w:t>
        </w:r>
        <w:proofErr w:type="spellStart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>України</w:t>
        </w:r>
        <w:proofErr w:type="spellEnd"/>
      </w:hyperlink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“Про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очищення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влади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”,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забезпечення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відкритості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прозорості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публічності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діяльності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органів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виконавчої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влади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здійснення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громадського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контролю за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їх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діяльністю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оновлення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громадських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рад,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утворених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при органах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виконавчої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влади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 22 лютого 2014 р.,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Кабінет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Міністрів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України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</w:rPr>
        <w:t>постановляє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FB1B23" w:rsidRPr="00FB1B23" w:rsidRDefault="00FB1B23" w:rsidP="00FB1B23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n5"/>
      <w:bookmarkEnd w:id="2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Внести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зміну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 </w:t>
      </w:r>
      <w:hyperlink r:id="rId5" w:tgtFrame="_blank" w:history="1"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 xml:space="preserve">постанови </w:t>
        </w:r>
        <w:proofErr w:type="spellStart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>Кабінету</w:t>
        </w:r>
        <w:proofErr w:type="spellEnd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 xml:space="preserve"> </w:t>
        </w:r>
        <w:proofErr w:type="spellStart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>Міні</w:t>
        </w:r>
        <w:proofErr w:type="gramStart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>стр</w:t>
        </w:r>
        <w:proofErr w:type="gramEnd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>ів</w:t>
        </w:r>
        <w:proofErr w:type="spellEnd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 xml:space="preserve"> </w:t>
        </w:r>
        <w:proofErr w:type="spellStart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>України</w:t>
        </w:r>
        <w:proofErr w:type="spellEnd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 xml:space="preserve"> </w:t>
        </w:r>
        <w:proofErr w:type="spellStart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>від</w:t>
        </w:r>
        <w:proofErr w:type="spellEnd"/>
        <w:r w:rsidRPr="00FB1B23">
          <w:rPr>
            <w:rFonts w:ascii="Courier New" w:eastAsia="Times New Roman" w:hAnsi="Courier New" w:cs="Courier New"/>
            <w:color w:val="000000"/>
            <w:sz w:val="21"/>
            <w:szCs w:val="21"/>
          </w:rPr>
          <w:t xml:space="preserve"> 3 листопада 2010 р. № 996</w:t>
        </w:r>
      </w:hyperlink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“Про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забезпечення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участі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громадськості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формуванні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реалізації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державної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політики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” (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Офіційний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вісник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України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2010 р., № 84, ст. 2945),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доповнивши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її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пунктом 7 такого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змісту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FB1B23" w:rsidRPr="00FB1B23" w:rsidRDefault="00FB1B23" w:rsidP="00FB1B23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n6"/>
      <w:bookmarkEnd w:id="3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“7.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Припинити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повноваження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громадських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рад при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міністерствах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інших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центральних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органах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виконавчої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влади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Раді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міні</w:t>
      </w:r>
      <w:proofErr w:type="gram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ів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Автономної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Республіки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Крим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обласних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Київській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Севастопольській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міських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районних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районних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мм.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Киє</w:t>
      </w:r>
      <w:proofErr w:type="gram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Севастополі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державних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адміністраціях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утворених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 22 лютого 2014 року.</w:t>
      </w:r>
    </w:p>
    <w:p w:rsidR="00FB1B23" w:rsidRPr="00FB1B23" w:rsidRDefault="00FB1B23" w:rsidP="00FB1B23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n7"/>
      <w:bookmarkEnd w:id="4"/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Міністерствам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іншим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центральним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органам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виконавчої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влади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Раді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міні</w:t>
      </w:r>
      <w:proofErr w:type="gram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ів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Автономної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Республіки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Крим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обласним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Київській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Севастопольській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міським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районним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районним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мм.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Києві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Севастополі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державним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адміністраціям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вжити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заходів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формування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нового складу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громадських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рад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відповідно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 Типового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положення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про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громадську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раду при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міністерстві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іншому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центральному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органі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виконавчої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влади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Раді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міні</w:t>
      </w:r>
      <w:proofErr w:type="gram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ів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Автономної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Республіки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Крим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обласній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Київській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Севастопольській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міській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районній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районній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</w:t>
      </w:r>
      <w:proofErr w:type="gram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мм</w:t>
      </w:r>
      <w:proofErr w:type="gram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Киє</w:t>
      </w:r>
      <w:proofErr w:type="gram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Севастополі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державній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адміністрації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затвердженого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цією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постановою</w:t>
      </w:r>
      <w:proofErr w:type="spellEnd"/>
      <w:r w:rsidRPr="00FB1B23">
        <w:rPr>
          <w:rFonts w:ascii="Courier New" w:eastAsia="Times New Roman" w:hAnsi="Courier New" w:cs="Courier New"/>
          <w:color w:val="000000"/>
          <w:sz w:val="21"/>
          <w:szCs w:val="21"/>
        </w:rPr>
        <w:t>.”.</w:t>
      </w:r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2"/>
        <w:gridCol w:w="6633"/>
      </w:tblGrid>
      <w:tr w:rsidR="00FB1B23" w:rsidRPr="00FB1B23" w:rsidTr="00FB1B23">
        <w:trPr>
          <w:tblCellSpacing w:w="0" w:type="dxa"/>
        </w:trPr>
        <w:tc>
          <w:tcPr>
            <w:tcW w:w="1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B23" w:rsidRPr="00FB1B23" w:rsidRDefault="00FB1B23" w:rsidP="00FB1B23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n8"/>
            <w:bookmarkEnd w:id="5"/>
            <w:proofErr w:type="spellStart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Прем'єр-міні</w:t>
            </w:r>
            <w:proofErr w:type="gramStart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стр</w:t>
            </w:r>
            <w:proofErr w:type="spellEnd"/>
            <w:proofErr w:type="gramEnd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B23" w:rsidRPr="00FB1B23" w:rsidRDefault="00FB1B23" w:rsidP="00FB1B23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А.ЯЦЕНЮК</w:t>
            </w:r>
          </w:p>
        </w:tc>
      </w:tr>
      <w:tr w:rsidR="00FB1B23" w:rsidRPr="00FB1B23" w:rsidTr="00FB1B23">
        <w:trPr>
          <w:tblCellSpacing w:w="0" w:type="dxa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B23" w:rsidRPr="00FB1B23" w:rsidRDefault="00FB1B23" w:rsidP="00FB1B23">
            <w:pPr>
              <w:spacing w:before="100" w:beforeAutospacing="1" w:after="15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Інд</w:t>
            </w:r>
            <w:proofErr w:type="spellEnd"/>
            <w:r w:rsidRPr="00FB1B23">
              <w:rPr>
                <w:rFonts w:ascii="Arial" w:eastAsia="Times New Roman" w:hAnsi="Arial" w:cs="Arial"/>
                <w:color w:val="000000"/>
                <w:sz w:val="20"/>
              </w:rPr>
              <w:t>. 17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1B23" w:rsidRPr="00FB1B23" w:rsidRDefault="00FB1B23" w:rsidP="00FB1B2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70E75" w:rsidRDefault="00170E75"/>
    <w:sectPr w:rsidR="0017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B23"/>
    <w:rsid w:val="00170E75"/>
    <w:rsid w:val="00FB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B1B23"/>
  </w:style>
  <w:style w:type="character" w:customStyle="1" w:styleId="rvts64">
    <w:name w:val="rvts64"/>
    <w:basedOn w:val="a0"/>
    <w:rsid w:val="00FB1B23"/>
  </w:style>
  <w:style w:type="character" w:customStyle="1" w:styleId="rvts9">
    <w:name w:val="rvts9"/>
    <w:basedOn w:val="a0"/>
    <w:rsid w:val="00FB1B23"/>
  </w:style>
  <w:style w:type="character" w:customStyle="1" w:styleId="rvts52">
    <w:name w:val="rvts52"/>
    <w:basedOn w:val="a0"/>
    <w:rsid w:val="00FB1B23"/>
  </w:style>
  <w:style w:type="character" w:customStyle="1" w:styleId="rvts44">
    <w:name w:val="rvts44"/>
    <w:basedOn w:val="a0"/>
    <w:rsid w:val="00FB1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996-2010-%D0%BF" TargetMode="External"/><Relationship Id="rId4" Type="http://schemas.openxmlformats.org/officeDocument/2006/relationships/hyperlink" Target="http://zakon2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ВП</cp:lastModifiedBy>
  <cp:revision>3</cp:revision>
  <dcterms:created xsi:type="dcterms:W3CDTF">2015-03-20T10:00:00Z</dcterms:created>
  <dcterms:modified xsi:type="dcterms:W3CDTF">2015-03-20T10:01:00Z</dcterms:modified>
</cp:coreProperties>
</file>